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48" w:rsidRDefault="00072F48" w:rsidP="00072F48">
      <w:pPr>
        <w:pStyle w:val="Titel"/>
      </w:pPr>
    </w:p>
    <w:p w:rsidR="00072F48" w:rsidRDefault="00072F48" w:rsidP="00072F48">
      <w:pPr>
        <w:pStyle w:val="Titel"/>
      </w:pPr>
    </w:p>
    <w:p w:rsidR="001B5DBD" w:rsidRPr="00072F48" w:rsidRDefault="00072F48" w:rsidP="00072F48">
      <w:pPr>
        <w:pStyle w:val="Titel"/>
      </w:pPr>
      <w:r w:rsidRPr="00072F48">
        <w:t>Erhvervsinformatik C</w:t>
      </w:r>
      <w:r w:rsidRPr="00072F48">
        <w:br/>
        <w:t>Love og regler i forbindelse med data (GDPR)</w:t>
      </w:r>
    </w:p>
    <w:p w:rsidR="00072F48" w:rsidRPr="00072F48" w:rsidRDefault="00072F48" w:rsidP="00072F48">
      <w:pPr>
        <w:pStyle w:val="Undertitel"/>
      </w:pPr>
      <w:r w:rsidRPr="00072F48">
        <w:t>EUX &amp; EUD Business</w:t>
      </w:r>
    </w:p>
    <w:p w:rsidR="00072F48" w:rsidRDefault="00072F48" w:rsidP="00072F48">
      <w:r>
        <w:br w:type="page"/>
      </w:r>
    </w:p>
    <w:p w:rsidR="00072F48" w:rsidRDefault="00072F48" w:rsidP="00072F48">
      <w:pPr>
        <w:pStyle w:val="Overskrift1"/>
      </w:pPr>
      <w:r w:rsidRPr="00072F48">
        <w:lastRenderedPageBreak/>
        <w:t>Love og regler i forbindelse med data (GDPR)</w:t>
      </w:r>
      <w:r w:rsidRPr="00072F48">
        <w:br/>
        <w:t>(oversigt)</w:t>
      </w:r>
    </w:p>
    <w:p w:rsidR="00072F48" w:rsidRDefault="00072F48" w:rsidP="00072F48"/>
    <w:p w:rsidR="00072F48" w:rsidRPr="00072F48" w:rsidRDefault="00072F48" w:rsidP="00072F48"/>
    <w:p w:rsidR="00000000" w:rsidRPr="00072F48" w:rsidRDefault="00072F48" w:rsidP="00072F48">
      <w:pPr>
        <w:pStyle w:val="Listeafsnit"/>
        <w:numPr>
          <w:ilvl w:val="0"/>
          <w:numId w:val="10"/>
        </w:numPr>
      </w:pPr>
      <w:r w:rsidRPr="00072F48">
        <w:t>Data og beskyttel</w:t>
      </w:r>
      <w:r w:rsidRPr="00072F48">
        <w:t>sesforordninger</w:t>
      </w:r>
    </w:p>
    <w:p w:rsidR="00000000" w:rsidRPr="00072F48" w:rsidRDefault="00072F48" w:rsidP="00072F48">
      <w:pPr>
        <w:pStyle w:val="Listeafsnit"/>
        <w:numPr>
          <w:ilvl w:val="0"/>
          <w:numId w:val="10"/>
        </w:numPr>
      </w:pPr>
      <w:r w:rsidRPr="00072F48">
        <w:t>GDPR</w:t>
      </w:r>
    </w:p>
    <w:p w:rsidR="00000000" w:rsidRPr="00072F48" w:rsidRDefault="00072F48" w:rsidP="00072F48">
      <w:pPr>
        <w:pStyle w:val="Listeafsnit"/>
        <w:numPr>
          <w:ilvl w:val="0"/>
          <w:numId w:val="10"/>
        </w:numPr>
      </w:pPr>
      <w:r w:rsidRPr="00072F48">
        <w:t>Opgave</w:t>
      </w:r>
    </w:p>
    <w:p w:rsidR="00000000" w:rsidRPr="00072F48" w:rsidRDefault="00072F48" w:rsidP="00072F48">
      <w:pPr>
        <w:pStyle w:val="Listeafsnit"/>
        <w:numPr>
          <w:ilvl w:val="0"/>
          <w:numId w:val="10"/>
        </w:numPr>
      </w:pPr>
      <w:r w:rsidRPr="00072F48">
        <w:t>Brud på sikkerheden</w:t>
      </w:r>
    </w:p>
    <w:p w:rsidR="00072F48" w:rsidRDefault="00072F48" w:rsidP="00072F48">
      <w:r>
        <w:br w:type="page"/>
      </w:r>
    </w:p>
    <w:p w:rsidR="00072F48" w:rsidRDefault="00072F48" w:rsidP="00072F48">
      <w:pPr>
        <w:pStyle w:val="Overskrift1"/>
      </w:pPr>
      <w:r w:rsidRPr="00072F48">
        <w:lastRenderedPageBreak/>
        <w:t>Data og beskyttelsesforordninger</w:t>
      </w:r>
    </w:p>
    <w:p w:rsidR="00000000" w:rsidRPr="00072F48" w:rsidRDefault="00072F48" w:rsidP="00072F48">
      <w:pPr>
        <w:pStyle w:val="Listeafsnit"/>
        <w:numPr>
          <w:ilvl w:val="0"/>
          <w:numId w:val="11"/>
        </w:numPr>
        <w:rPr>
          <w:sz w:val="40"/>
          <w:szCs w:val="40"/>
        </w:rPr>
      </w:pPr>
      <w:r w:rsidRPr="00072F48">
        <w:rPr>
          <w:sz w:val="40"/>
          <w:szCs w:val="40"/>
        </w:rPr>
        <w:t>Databeskyttelsesforordningen opdeler persondata i 3 typer:</w:t>
      </w:r>
    </w:p>
    <w:p w:rsidR="00000000" w:rsidRPr="00072F48" w:rsidRDefault="00072F48" w:rsidP="00072F48">
      <w:pPr>
        <w:pStyle w:val="Listeafsnit"/>
        <w:numPr>
          <w:ilvl w:val="1"/>
          <w:numId w:val="11"/>
        </w:numPr>
        <w:rPr>
          <w:sz w:val="40"/>
          <w:szCs w:val="40"/>
        </w:rPr>
      </w:pPr>
      <w:r w:rsidRPr="00072F48">
        <w:rPr>
          <w:b/>
          <w:sz w:val="40"/>
          <w:szCs w:val="40"/>
        </w:rPr>
        <w:t>De almindelige oplysninger</w:t>
      </w:r>
      <w:r w:rsidRPr="00072F48">
        <w:rPr>
          <w:sz w:val="40"/>
          <w:szCs w:val="40"/>
        </w:rPr>
        <w:t xml:space="preserve"> (Ikke-følsomme)</w:t>
      </w:r>
      <w:r w:rsidRPr="00072F48">
        <w:rPr>
          <w:sz w:val="40"/>
          <w:szCs w:val="40"/>
        </w:rPr>
        <w:br/>
      </w:r>
      <w:r w:rsidRPr="00072F48">
        <w:rPr>
          <w:sz w:val="40"/>
          <w:szCs w:val="40"/>
        </w:rPr>
        <w:t>Alle former f</w:t>
      </w:r>
      <w:r w:rsidRPr="00072F48">
        <w:rPr>
          <w:sz w:val="40"/>
          <w:szCs w:val="40"/>
        </w:rPr>
        <w:t xml:space="preserve">or informationer, der IKKE kan kategoriseres som følsomme  oplysninger om økonomi eller personoplysninger. (fx navn og adresse) </w:t>
      </w:r>
    </w:p>
    <w:p w:rsidR="00000000" w:rsidRPr="00072F48" w:rsidRDefault="00072F48" w:rsidP="00072F48">
      <w:pPr>
        <w:pStyle w:val="Listeafsnit"/>
        <w:numPr>
          <w:ilvl w:val="1"/>
          <w:numId w:val="11"/>
        </w:numPr>
        <w:rPr>
          <w:sz w:val="40"/>
          <w:szCs w:val="40"/>
        </w:rPr>
      </w:pPr>
      <w:r w:rsidRPr="00072F48">
        <w:rPr>
          <w:b/>
          <w:sz w:val="40"/>
          <w:szCs w:val="40"/>
        </w:rPr>
        <w:t>De personfølsomme oplysninger</w:t>
      </w:r>
      <w:r w:rsidRPr="00072F48">
        <w:rPr>
          <w:sz w:val="40"/>
          <w:szCs w:val="40"/>
        </w:rPr>
        <w:t xml:space="preserve"> (følsomme)</w:t>
      </w:r>
      <w:r w:rsidRPr="00072F48">
        <w:rPr>
          <w:sz w:val="40"/>
          <w:szCs w:val="40"/>
        </w:rPr>
        <w:br/>
      </w:r>
      <w:r w:rsidRPr="00072F48">
        <w:rPr>
          <w:sz w:val="40"/>
          <w:szCs w:val="40"/>
        </w:rPr>
        <w:t xml:space="preserve">Disse oplysninger er beskyttet af </w:t>
      </w:r>
      <w:proofErr w:type="spellStart"/>
      <w:r w:rsidRPr="00072F48">
        <w:rPr>
          <w:sz w:val="40"/>
          <w:szCs w:val="40"/>
        </w:rPr>
        <w:t>databeskyttlsesforordningen</w:t>
      </w:r>
      <w:proofErr w:type="spellEnd"/>
      <w:r w:rsidRPr="00072F48">
        <w:rPr>
          <w:sz w:val="40"/>
          <w:szCs w:val="40"/>
        </w:rPr>
        <w:t>:</w:t>
      </w:r>
    </w:p>
    <w:p w:rsidR="00072F48" w:rsidRPr="00072F48" w:rsidRDefault="00072F48" w:rsidP="00072F48">
      <w:pPr>
        <w:pStyle w:val="Listeafsnit"/>
        <w:ind w:left="1576" w:firstLine="224"/>
        <w:rPr>
          <w:sz w:val="40"/>
          <w:szCs w:val="40"/>
        </w:rPr>
      </w:pPr>
      <w:r w:rsidRPr="00072F48">
        <w:rPr>
          <w:sz w:val="40"/>
          <w:szCs w:val="40"/>
        </w:rPr>
        <w:t>Race og etnisk oprindelse</w:t>
      </w:r>
      <w:r w:rsidRPr="00072F48">
        <w:rPr>
          <w:sz w:val="40"/>
          <w:szCs w:val="40"/>
        </w:rPr>
        <w:tab/>
        <w:t>Politisk overbevisning</w:t>
      </w:r>
    </w:p>
    <w:p w:rsidR="00072F48" w:rsidRPr="00072F48" w:rsidRDefault="00072F48" w:rsidP="00072F48">
      <w:pPr>
        <w:pStyle w:val="Listeafsnit"/>
        <w:ind w:left="1352" w:firstLine="448"/>
        <w:rPr>
          <w:sz w:val="40"/>
          <w:szCs w:val="40"/>
        </w:rPr>
      </w:pPr>
      <w:r w:rsidRPr="00072F48">
        <w:rPr>
          <w:sz w:val="40"/>
          <w:szCs w:val="40"/>
        </w:rPr>
        <w:t>Religiøs overbevisning</w:t>
      </w:r>
      <w:r w:rsidRPr="00072F48">
        <w:rPr>
          <w:sz w:val="40"/>
          <w:szCs w:val="40"/>
        </w:rPr>
        <w:tab/>
        <w:t>Fagforeningsmæssig tilhørsforhold</w:t>
      </w:r>
    </w:p>
    <w:p w:rsidR="00072F48" w:rsidRPr="00072F48" w:rsidRDefault="00072F48" w:rsidP="00072F48">
      <w:pPr>
        <w:pStyle w:val="Listeafsnit"/>
        <w:ind w:left="1576" w:firstLine="224"/>
        <w:rPr>
          <w:sz w:val="40"/>
          <w:szCs w:val="40"/>
        </w:rPr>
      </w:pPr>
      <w:r w:rsidRPr="00072F48">
        <w:rPr>
          <w:sz w:val="40"/>
          <w:szCs w:val="40"/>
        </w:rPr>
        <w:t>Genetiske data</w:t>
      </w:r>
      <w:r w:rsidRPr="00072F48">
        <w:rPr>
          <w:sz w:val="40"/>
          <w:szCs w:val="40"/>
        </w:rPr>
        <w:tab/>
      </w:r>
      <w:r w:rsidRPr="00072F48">
        <w:rPr>
          <w:sz w:val="40"/>
          <w:szCs w:val="40"/>
        </w:rPr>
        <w:tab/>
        <w:t>Biometriske data</w:t>
      </w:r>
    </w:p>
    <w:p w:rsidR="00072F48" w:rsidRPr="00072F48" w:rsidRDefault="00072F48" w:rsidP="00072F48">
      <w:pPr>
        <w:pStyle w:val="Listeafsnit"/>
        <w:ind w:left="1352" w:firstLine="448"/>
        <w:rPr>
          <w:sz w:val="40"/>
          <w:szCs w:val="40"/>
        </w:rPr>
      </w:pPr>
      <w:r w:rsidRPr="00072F48">
        <w:rPr>
          <w:sz w:val="40"/>
          <w:szCs w:val="40"/>
        </w:rPr>
        <w:t>Helbredsoplysninger</w:t>
      </w:r>
      <w:r w:rsidRPr="00072F48">
        <w:rPr>
          <w:sz w:val="40"/>
          <w:szCs w:val="40"/>
        </w:rPr>
        <w:tab/>
      </w:r>
      <w:r w:rsidRPr="00072F48">
        <w:rPr>
          <w:sz w:val="40"/>
          <w:szCs w:val="40"/>
        </w:rPr>
        <w:tab/>
        <w:t>Seksuelle forhold eller orientering</w:t>
      </w:r>
      <w:r>
        <w:rPr>
          <w:sz w:val="40"/>
          <w:szCs w:val="40"/>
        </w:rPr>
        <w:br/>
      </w:r>
    </w:p>
    <w:p w:rsidR="00072F48" w:rsidRPr="00072F48" w:rsidRDefault="00072F48" w:rsidP="00072F48">
      <w:pPr>
        <w:pStyle w:val="Listeafsnit"/>
        <w:numPr>
          <w:ilvl w:val="1"/>
          <w:numId w:val="11"/>
        </w:numPr>
        <w:rPr>
          <w:sz w:val="40"/>
          <w:szCs w:val="40"/>
        </w:rPr>
      </w:pPr>
      <w:r w:rsidRPr="00072F48">
        <w:rPr>
          <w:b/>
          <w:sz w:val="40"/>
          <w:szCs w:val="40"/>
        </w:rPr>
        <w:t>Oplysninger om straffedomme og lovovertrædelser eller tilknyttede sikkerhedsforanstaltninger</w:t>
      </w:r>
      <w:r>
        <w:rPr>
          <w:sz w:val="40"/>
          <w:szCs w:val="40"/>
        </w:rPr>
        <w:br/>
      </w:r>
      <w:r w:rsidRPr="00072F48">
        <w:rPr>
          <w:sz w:val="40"/>
          <w:szCs w:val="40"/>
        </w:rPr>
        <w:t>Anses for almindelige personoplysninger og er særskilt reguleret!</w:t>
      </w:r>
      <w:r w:rsidRPr="00072F48">
        <w:rPr>
          <w:sz w:val="40"/>
          <w:szCs w:val="40"/>
        </w:rPr>
        <w:br w:type="page"/>
      </w:r>
    </w:p>
    <w:p w:rsidR="00072F48" w:rsidRDefault="00072F48" w:rsidP="00072F48">
      <w:pPr>
        <w:pStyle w:val="Overskrift1"/>
      </w:pPr>
      <w:r w:rsidRPr="00072F48">
        <w:lastRenderedPageBreak/>
        <w:t>GDPR</w:t>
      </w:r>
    </w:p>
    <w:p w:rsidR="00000000" w:rsidRPr="00072F48" w:rsidRDefault="00072F48" w:rsidP="00072F48">
      <w:pPr>
        <w:pStyle w:val="Listeafsnit"/>
        <w:numPr>
          <w:ilvl w:val="0"/>
          <w:numId w:val="4"/>
        </w:numPr>
      </w:pPr>
      <w:r w:rsidRPr="00072F48">
        <w:t xml:space="preserve">General Data </w:t>
      </w:r>
      <w:proofErr w:type="spellStart"/>
      <w:r w:rsidRPr="00072F48">
        <w:t>Protection</w:t>
      </w:r>
      <w:proofErr w:type="spellEnd"/>
      <w:r w:rsidRPr="00072F48">
        <w:t xml:space="preserve"> </w:t>
      </w:r>
      <w:proofErr w:type="spellStart"/>
      <w:r w:rsidRPr="00072F48">
        <w:t>Regulation</w:t>
      </w:r>
      <w:proofErr w:type="spellEnd"/>
      <w:r w:rsidRPr="00072F48">
        <w:br/>
        <w:t>(EU-lov indført 25. maj 2018)</w:t>
      </w:r>
    </w:p>
    <w:p w:rsidR="00000000" w:rsidRPr="00072F48" w:rsidRDefault="00072F48" w:rsidP="00072F48">
      <w:pPr>
        <w:pStyle w:val="Listeafsnit"/>
        <w:numPr>
          <w:ilvl w:val="0"/>
          <w:numId w:val="4"/>
        </w:numPr>
      </w:pPr>
      <w:r w:rsidRPr="00072F48">
        <w:rPr>
          <w:b/>
        </w:rPr>
        <w:t>Formål</w:t>
      </w:r>
      <w:r w:rsidRPr="00072F48">
        <w:br/>
        <w:t>Beskyttelse af brugernes persondata</w:t>
      </w:r>
    </w:p>
    <w:p w:rsidR="00000000" w:rsidRPr="00072F48" w:rsidRDefault="00072F48" w:rsidP="00072F48">
      <w:pPr>
        <w:pStyle w:val="Listeafsnit"/>
        <w:numPr>
          <w:ilvl w:val="0"/>
          <w:numId w:val="4"/>
        </w:numPr>
        <w:rPr>
          <w:b/>
        </w:rPr>
      </w:pPr>
      <w:r w:rsidRPr="00072F48">
        <w:rPr>
          <w:b/>
        </w:rPr>
        <w:t>5 Regler virksomheder skal overholde:</w:t>
      </w:r>
    </w:p>
    <w:p w:rsidR="00000000" w:rsidRPr="00072F48" w:rsidRDefault="00072F48" w:rsidP="00072F48">
      <w:pPr>
        <w:pStyle w:val="Listeafsnit"/>
        <w:numPr>
          <w:ilvl w:val="1"/>
          <w:numId w:val="12"/>
        </w:numPr>
        <w:rPr>
          <w:sz w:val="48"/>
          <w:szCs w:val="48"/>
        </w:rPr>
      </w:pPr>
      <w:r w:rsidRPr="00072F48">
        <w:rPr>
          <w:sz w:val="48"/>
          <w:szCs w:val="48"/>
        </w:rPr>
        <w:t>Føre en fortegnelse</w:t>
      </w:r>
    </w:p>
    <w:p w:rsidR="00000000" w:rsidRPr="00072F48" w:rsidRDefault="00072F48" w:rsidP="00072F48">
      <w:pPr>
        <w:pStyle w:val="Listeafsnit"/>
        <w:numPr>
          <w:ilvl w:val="1"/>
          <w:numId w:val="12"/>
        </w:numPr>
        <w:rPr>
          <w:sz w:val="48"/>
          <w:szCs w:val="48"/>
        </w:rPr>
      </w:pPr>
      <w:r w:rsidRPr="00072F48">
        <w:rPr>
          <w:sz w:val="48"/>
          <w:szCs w:val="48"/>
        </w:rPr>
        <w:t>Dokumentere at lovgivningen efterleves</w:t>
      </w:r>
    </w:p>
    <w:p w:rsidR="00000000" w:rsidRPr="00072F48" w:rsidRDefault="00072F48" w:rsidP="00072F48">
      <w:pPr>
        <w:pStyle w:val="Listeafsnit"/>
        <w:numPr>
          <w:ilvl w:val="1"/>
          <w:numId w:val="12"/>
        </w:numPr>
        <w:rPr>
          <w:sz w:val="48"/>
          <w:szCs w:val="48"/>
        </w:rPr>
      </w:pPr>
      <w:r w:rsidRPr="00072F48">
        <w:rPr>
          <w:sz w:val="48"/>
          <w:szCs w:val="48"/>
        </w:rPr>
        <w:t>Dokumentere organisatoriske foranstaltninger</w:t>
      </w:r>
    </w:p>
    <w:p w:rsidR="00000000" w:rsidRPr="00072F48" w:rsidRDefault="00072F48" w:rsidP="00072F48">
      <w:pPr>
        <w:pStyle w:val="Listeafsnit"/>
        <w:numPr>
          <w:ilvl w:val="1"/>
          <w:numId w:val="12"/>
        </w:numPr>
        <w:rPr>
          <w:sz w:val="48"/>
          <w:szCs w:val="48"/>
        </w:rPr>
      </w:pPr>
      <w:r w:rsidRPr="00072F48">
        <w:rPr>
          <w:sz w:val="48"/>
          <w:szCs w:val="48"/>
        </w:rPr>
        <w:t>Oplyse kunder og ansatte om hvordan data behandles</w:t>
      </w:r>
    </w:p>
    <w:p w:rsidR="00000000" w:rsidRPr="00072F48" w:rsidRDefault="00072F48" w:rsidP="00072F48">
      <w:pPr>
        <w:pStyle w:val="Listeafsnit"/>
        <w:numPr>
          <w:ilvl w:val="1"/>
          <w:numId w:val="12"/>
        </w:numPr>
      </w:pPr>
      <w:r w:rsidRPr="00072F48">
        <w:t xml:space="preserve">Bevis at lovgivningen efterleves (fx </w:t>
      </w:r>
      <w:proofErr w:type="gramStart"/>
      <w:r w:rsidRPr="00072F48">
        <w:t xml:space="preserve">via </w:t>
      </w:r>
      <w:r>
        <w:t xml:space="preserve"> </w:t>
      </w:r>
      <w:r w:rsidRPr="00072F48">
        <w:t>samtykke</w:t>
      </w:r>
      <w:proofErr w:type="gramEnd"/>
      <w:r w:rsidRPr="00072F48">
        <w:t xml:space="preserve"> mv.)</w:t>
      </w:r>
    </w:p>
    <w:p w:rsidR="00072F48" w:rsidRDefault="00072F48" w:rsidP="00072F48">
      <w:r>
        <w:br w:type="page"/>
      </w:r>
    </w:p>
    <w:p w:rsidR="00072F48" w:rsidRDefault="00072F48" w:rsidP="00072F48">
      <w:pPr>
        <w:pStyle w:val="Overskrift1"/>
      </w:pPr>
      <w:r>
        <w:lastRenderedPageBreak/>
        <w:t xml:space="preserve">… </w:t>
      </w:r>
      <w:r w:rsidRPr="00072F48">
        <w:t>GDPR fortsat</w:t>
      </w:r>
    </w:p>
    <w:p w:rsidR="00000000" w:rsidRPr="00072F48" w:rsidRDefault="00072F48" w:rsidP="00072F48">
      <w:pPr>
        <w:pStyle w:val="Listeafsnit"/>
        <w:numPr>
          <w:ilvl w:val="0"/>
          <w:numId w:val="5"/>
        </w:numPr>
        <w:rPr>
          <w:b/>
        </w:rPr>
      </w:pPr>
      <w:r w:rsidRPr="00072F48">
        <w:rPr>
          <w:b/>
        </w:rPr>
        <w:t>Hvorfor er det vigtigt?</w:t>
      </w:r>
    </w:p>
    <w:p w:rsidR="00000000" w:rsidRPr="00072F48" w:rsidRDefault="00072F48" w:rsidP="00072F48">
      <w:pPr>
        <w:pStyle w:val="Listeafsnit"/>
        <w:numPr>
          <w:ilvl w:val="1"/>
          <w:numId w:val="5"/>
        </w:numPr>
      </w:pPr>
      <w:r w:rsidRPr="00072F48">
        <w:t>Tillid fra kunder og samarbejdspartnere</w:t>
      </w:r>
    </w:p>
    <w:p w:rsidR="00000000" w:rsidRPr="00072F48" w:rsidRDefault="00072F48" w:rsidP="00072F48">
      <w:pPr>
        <w:pStyle w:val="Listeafsnit"/>
        <w:numPr>
          <w:ilvl w:val="0"/>
          <w:numId w:val="5"/>
        </w:numPr>
        <w:rPr>
          <w:b/>
        </w:rPr>
      </w:pPr>
      <w:r w:rsidRPr="00072F48">
        <w:rPr>
          <w:b/>
        </w:rPr>
        <w:t>Bøder</w:t>
      </w:r>
    </w:p>
    <w:p w:rsidR="00000000" w:rsidRPr="00072F48" w:rsidRDefault="00072F48" w:rsidP="00072F48">
      <w:pPr>
        <w:pStyle w:val="Listeafsnit"/>
        <w:numPr>
          <w:ilvl w:val="1"/>
          <w:numId w:val="5"/>
        </w:numPr>
      </w:pPr>
      <w:r w:rsidRPr="00072F48">
        <w:t>Overholdes GDPR ikke, kan virksomheden idømmes store bøder!</w:t>
      </w:r>
    </w:p>
    <w:p w:rsidR="00072F48" w:rsidRPr="00072F48" w:rsidRDefault="00072F48" w:rsidP="00072F48">
      <w:r w:rsidRPr="00072F48">
        <w:t>GDPR bøder i Danmark</w:t>
      </w:r>
      <w:r w:rsidRPr="00072F48">
        <w:br/>
      </w:r>
      <w:r w:rsidRPr="00072F48">
        <w:tab/>
      </w:r>
      <w:bookmarkStart w:id="0" w:name="_GoBack"/>
      <w:r w:rsidRPr="00072F48">
        <w:fldChar w:fldCharType="begin"/>
      </w:r>
      <w:r>
        <w:instrText>HYPERLINK "https://www.danskerhverv.dk/presse-og-nyheder/nyheder/Ny-GDPR-bode-paa-15-milliioner/" \o "#AutoGenerate"</w:instrText>
      </w:r>
      <w:r w:rsidRPr="00072F48">
        <w:fldChar w:fldCharType="separate"/>
      </w:r>
      <w:r w:rsidRPr="00072F48">
        <w:rPr>
          <w:rStyle w:val="Hyperlink"/>
          <w:b/>
        </w:rPr>
        <w:t xml:space="preserve">Møbelfirma fik bøde på 1,5 </w:t>
      </w:r>
      <w:r w:rsidRPr="00072F48">
        <w:fldChar w:fldCharType="end"/>
      </w:r>
      <w:bookmarkEnd w:id="0"/>
      <w:r w:rsidRPr="00072F48">
        <w:fldChar w:fldCharType="begin"/>
      </w:r>
      <w:r>
        <w:instrText>HYPERLINK "https://www.danskerhverv.dk/presse-og-nyheder/nyheder/Ny-GDPR-bode-paa-15-milliioner/" \o "#AutoGenerate"</w:instrText>
      </w:r>
      <w:r w:rsidRPr="00072F48">
        <w:fldChar w:fldCharType="separate"/>
      </w:r>
      <w:proofErr w:type="spellStart"/>
      <w:r w:rsidRPr="00072F48">
        <w:rPr>
          <w:rStyle w:val="Hyperlink"/>
          <w:b/>
        </w:rPr>
        <w:t>mill</w:t>
      </w:r>
      <w:proofErr w:type="spellEnd"/>
      <w:r w:rsidRPr="00072F48">
        <w:fldChar w:fldCharType="end"/>
      </w:r>
      <w:hyperlink r:id="rId5" w:tooltip="#AutoGenerate" w:history="1">
        <w:r w:rsidRPr="00072F48">
          <w:rPr>
            <w:rStyle w:val="Hyperlink"/>
            <w:b/>
          </w:rPr>
          <w:t>. kr.</w:t>
        </w:r>
      </w:hyperlink>
    </w:p>
    <w:p w:rsidR="00072F48" w:rsidRPr="00072F48" w:rsidRDefault="00072F48" w:rsidP="00072F48">
      <w:pPr>
        <w:ind w:left="1304" w:firstLine="1"/>
      </w:pPr>
      <w:hyperlink r:id="rId6" w:tooltip="#AutoGenerate" w:history="1">
        <w:r w:rsidRPr="00072F48">
          <w:rPr>
            <w:rStyle w:val="Hyperlink"/>
            <w:b/>
          </w:rPr>
          <w:t xml:space="preserve">Taxa selskab indstillet til bøde på 1,2 </w:t>
        </w:r>
      </w:hyperlink>
      <w:hyperlink r:id="rId7" w:tooltip="#AutoGenerate" w:history="1">
        <w:proofErr w:type="spellStart"/>
        <w:r w:rsidRPr="00072F48">
          <w:rPr>
            <w:rStyle w:val="Hyperlink"/>
            <w:b/>
          </w:rPr>
          <w:t>mill</w:t>
        </w:r>
        <w:proofErr w:type="spellEnd"/>
      </w:hyperlink>
      <w:hyperlink r:id="rId8" w:tooltip="#AutoGenerate" w:history="1">
        <w:r w:rsidRPr="00072F48">
          <w:rPr>
            <w:rStyle w:val="Hyperlink"/>
            <w:b/>
          </w:rPr>
          <w:t>. Kr.</w:t>
        </w:r>
      </w:hyperlink>
      <w:r w:rsidRPr="00072F48">
        <w:br/>
      </w:r>
      <w:hyperlink r:id="rId9" w:tooltip="#AutoGenerate" w:history="1">
        <w:r w:rsidRPr="00072F48">
          <w:rPr>
            <w:rStyle w:val="Hyperlink"/>
            <w:b/>
          </w:rPr>
          <w:t>GDPR Bøder i udlandet oversigt</w:t>
        </w:r>
      </w:hyperlink>
    </w:p>
    <w:p w:rsidR="00072F48" w:rsidRDefault="00072F48" w:rsidP="00072F48">
      <w:r>
        <w:br w:type="page"/>
      </w:r>
    </w:p>
    <w:p w:rsidR="00072F48" w:rsidRDefault="00072F48" w:rsidP="00072F48">
      <w:pPr>
        <w:pStyle w:val="Overskrift1"/>
      </w:pPr>
      <w:r w:rsidRPr="00072F48">
        <w:lastRenderedPageBreak/>
        <w:t>Opgave (60 min)</w:t>
      </w:r>
    </w:p>
    <w:p w:rsidR="00072F48" w:rsidRPr="00072F48" w:rsidRDefault="00072F48" w:rsidP="00072F48">
      <w:r w:rsidRPr="00072F48">
        <w:t>Gå sammen med en anden elev fra klasse</w:t>
      </w:r>
      <w:r>
        <w:t>n</w:t>
      </w:r>
      <w:r w:rsidRPr="00072F48">
        <w:t xml:space="preserve"> og arbejd med oplægget:</w:t>
      </w:r>
    </w:p>
    <w:p w:rsidR="00000000" w:rsidRPr="00072F48" w:rsidRDefault="00072F48" w:rsidP="00072F48">
      <w:pPr>
        <w:pStyle w:val="Listeafsnit"/>
        <w:numPr>
          <w:ilvl w:val="0"/>
          <w:numId w:val="6"/>
        </w:numPr>
      </w:pPr>
      <w:r w:rsidRPr="00072F48">
        <w:t>”D2 Hvordan ser GDPR ud i Salling Group?”</w:t>
      </w:r>
    </w:p>
    <w:p w:rsidR="00072F48" w:rsidRPr="00072F48" w:rsidRDefault="00072F48" w:rsidP="00072F48">
      <w:r w:rsidRPr="00072F48">
        <w:t>Fra opgaven:</w:t>
      </w:r>
      <w:r w:rsidRPr="00072F48">
        <w:br/>
        <w:t>Undersøg via nedenstående link, hvor omfattende det er for en virksomhed, at skulle leve op til GDPR</w:t>
      </w:r>
    </w:p>
    <w:p w:rsidR="00000000" w:rsidRPr="00072F48" w:rsidRDefault="00072F48" w:rsidP="00072F48">
      <w:pPr>
        <w:pStyle w:val="Listeafsnit"/>
        <w:numPr>
          <w:ilvl w:val="0"/>
          <w:numId w:val="7"/>
        </w:numPr>
      </w:pPr>
      <w:hyperlink r:id="rId10" w:tooltip="#AutoGenerate" w:history="1">
        <w:r w:rsidRPr="00072F48">
          <w:rPr>
            <w:rStyle w:val="Hyperlink"/>
            <w:b/>
          </w:rPr>
          <w:t>Priva</w:t>
        </w:r>
        <w:r w:rsidRPr="00072F48">
          <w:rPr>
            <w:rStyle w:val="Hyperlink"/>
            <w:b/>
          </w:rPr>
          <w:t>t</w:t>
        </w:r>
        <w:r w:rsidRPr="00072F48">
          <w:rPr>
            <w:rStyle w:val="Hyperlink"/>
            <w:b/>
          </w:rPr>
          <w:t>livspolitik i Salling Group</w:t>
        </w:r>
      </w:hyperlink>
    </w:p>
    <w:p w:rsidR="00072F48" w:rsidRDefault="00072F48" w:rsidP="00072F48">
      <w:r>
        <w:br w:type="page"/>
      </w:r>
    </w:p>
    <w:p w:rsidR="00072F48" w:rsidRDefault="00072F48" w:rsidP="00072F48">
      <w:pPr>
        <w:pStyle w:val="Overskrift1"/>
      </w:pPr>
      <w:r w:rsidRPr="00072F48">
        <w:lastRenderedPageBreak/>
        <w:t>Brud på sikkerheden?</w:t>
      </w:r>
      <w:r w:rsidRPr="00072F48">
        <w:tab/>
      </w:r>
    </w:p>
    <w:p w:rsidR="00000000" w:rsidRPr="00072F48" w:rsidRDefault="00072F48" w:rsidP="00072F48">
      <w:pPr>
        <w:pStyle w:val="Listeafsnit"/>
        <w:numPr>
          <w:ilvl w:val="0"/>
          <w:numId w:val="8"/>
        </w:numPr>
      </w:pPr>
      <w:r w:rsidRPr="00072F48">
        <w:t>Hvad skal virksomheden så gøre, hvis der er mistanke om brud på datasikkerheden?</w:t>
      </w:r>
      <w:r>
        <w:br/>
      </w:r>
    </w:p>
    <w:p w:rsidR="00000000" w:rsidRPr="00072F48" w:rsidRDefault="00072F48" w:rsidP="00072F48">
      <w:pPr>
        <w:pStyle w:val="Listeafsnit"/>
        <w:numPr>
          <w:ilvl w:val="0"/>
          <w:numId w:val="8"/>
        </w:numPr>
      </w:pPr>
      <w:r w:rsidRPr="00072F48">
        <w:t xml:space="preserve">Se eksempel på procedure ved brud på datasikkerheden i Kirkeministeriet </w:t>
      </w:r>
      <w:r w:rsidRPr="00072F48">
        <w:br/>
        <w:t xml:space="preserve">(Se Word-dokument: </w:t>
      </w:r>
      <w:r w:rsidRPr="00072F48">
        <w:t>D3) Procedure ved brud på datasikkerhed</w:t>
      </w:r>
      <w:r w:rsidRPr="00072F48">
        <w:t>)</w:t>
      </w:r>
    </w:p>
    <w:p w:rsidR="00000000" w:rsidRPr="00072F48" w:rsidRDefault="00072F48" w:rsidP="00072F48">
      <w:pPr>
        <w:pStyle w:val="Listeafsnit"/>
        <w:numPr>
          <w:ilvl w:val="0"/>
          <w:numId w:val="8"/>
        </w:numPr>
      </w:pPr>
      <w:r w:rsidRPr="00072F48">
        <w:t>Hvorfor skal det være så omfat</w:t>
      </w:r>
      <w:r w:rsidRPr="00072F48">
        <w:t>tende?</w:t>
      </w:r>
    </w:p>
    <w:p w:rsidR="00072F48" w:rsidRDefault="00072F48" w:rsidP="00072F48"/>
    <w:p w:rsidR="00072F48" w:rsidRDefault="00072F48" w:rsidP="00072F48"/>
    <w:sectPr w:rsidR="00072F48" w:rsidSect="00072F4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341D8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217C8"/>
    <w:multiLevelType w:val="hybridMultilevel"/>
    <w:tmpl w:val="0480DAA8"/>
    <w:lvl w:ilvl="0" w:tplc="1E38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24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0F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4E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C7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D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0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0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D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582B74"/>
    <w:multiLevelType w:val="hybridMultilevel"/>
    <w:tmpl w:val="8EB656C0"/>
    <w:lvl w:ilvl="0" w:tplc="5C36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485D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8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CF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A7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64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60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20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AC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57248D"/>
    <w:multiLevelType w:val="hybridMultilevel"/>
    <w:tmpl w:val="E2126DEC"/>
    <w:lvl w:ilvl="0" w:tplc="7B9A3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01942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CE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E0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25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0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E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C7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6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853B7F"/>
    <w:multiLevelType w:val="hybridMultilevel"/>
    <w:tmpl w:val="9384BCC4"/>
    <w:lvl w:ilvl="0" w:tplc="38047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01AF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2E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C9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8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43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3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63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A8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3C294C"/>
    <w:multiLevelType w:val="hybridMultilevel"/>
    <w:tmpl w:val="1388CD54"/>
    <w:lvl w:ilvl="0" w:tplc="A5ECD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8C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A9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A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2D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68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63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83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AC16E9"/>
    <w:multiLevelType w:val="hybridMultilevel"/>
    <w:tmpl w:val="45FC6854"/>
    <w:lvl w:ilvl="0" w:tplc="B798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B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6E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E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0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8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A4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2F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8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6652B9"/>
    <w:multiLevelType w:val="hybridMultilevel"/>
    <w:tmpl w:val="863AFD14"/>
    <w:lvl w:ilvl="0" w:tplc="5C36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688C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CF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A7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64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60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20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AC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866AF8"/>
    <w:multiLevelType w:val="hybridMultilevel"/>
    <w:tmpl w:val="1A8CC558"/>
    <w:lvl w:ilvl="0" w:tplc="7742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CF8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E42BC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CD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88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60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41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02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887CF9"/>
    <w:multiLevelType w:val="hybridMultilevel"/>
    <w:tmpl w:val="5566AD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8D4BF5"/>
    <w:multiLevelType w:val="hybridMultilevel"/>
    <w:tmpl w:val="6006366A"/>
    <w:lvl w:ilvl="0" w:tplc="F3606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EC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0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2F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A8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6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81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C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DD48F0"/>
    <w:multiLevelType w:val="hybridMultilevel"/>
    <w:tmpl w:val="6D14153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48"/>
    <w:rsid w:val="00037140"/>
    <w:rsid w:val="00071D93"/>
    <w:rsid w:val="00072F48"/>
    <w:rsid w:val="001B5DBD"/>
    <w:rsid w:val="002048B9"/>
    <w:rsid w:val="00336119"/>
    <w:rsid w:val="006059BD"/>
    <w:rsid w:val="00661CC0"/>
    <w:rsid w:val="006B52C8"/>
    <w:rsid w:val="006D097C"/>
    <w:rsid w:val="00C61238"/>
    <w:rsid w:val="00D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E51F"/>
  <w15:chartTrackingRefBased/>
  <w15:docId w15:val="{0ACA23EA-9834-4C57-9640-2D59EB66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48"/>
    <w:pPr>
      <w:ind w:left="360"/>
    </w:pPr>
    <w:rPr>
      <w:bCs/>
      <w:sz w:val="56"/>
      <w:szCs w:val="5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2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72"/>
      <w:szCs w:val="72"/>
      <w:u w:val="single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72F48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072F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elTegn">
    <w:name w:val="Titel Tegn"/>
    <w:basedOn w:val="Standardskrifttypeiafsnit"/>
    <w:link w:val="Titel"/>
    <w:uiPriority w:val="10"/>
    <w:rsid w:val="00072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72F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72F48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72F48"/>
    <w:rPr>
      <w:rFonts w:asciiTheme="majorHAnsi" w:eastAsiaTheme="majorEastAsia" w:hAnsiTheme="majorHAnsi" w:cstheme="majorBidi"/>
      <w:color w:val="000000" w:themeColor="text1"/>
      <w:sz w:val="72"/>
      <w:szCs w:val="72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072F48"/>
    <w:pPr>
      <w:numPr>
        <w:numId w:val="9"/>
      </w:numPr>
      <w:contextualSpacing/>
    </w:pPr>
  </w:style>
  <w:style w:type="paragraph" w:styleId="Listeafsnit">
    <w:name w:val="List Paragraph"/>
    <w:basedOn w:val="Normal"/>
    <w:uiPriority w:val="34"/>
    <w:qFormat/>
    <w:rsid w:val="00072F48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72F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2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0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tilsynet.dk/presse-og-nyheder/nyhedsarkiv/2019/mar/datatilsynet-indstiller-taxaselskab-til-boede-paa-1-2-mio-k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tatilsynet.dk/presse-og-nyheder/nyhedsarkiv/2019/mar/datatilsynet-indstiller-taxaselskab-til-boede-paa-1-2-mio-k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tatilsynet.dk/presse-og-nyheder/nyhedsarkiv/2019/mar/datatilsynet-indstiller-taxaselskab-til-boede-paa-1-2-mio-k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anskerhverv.dk/presse-og-nyheder/nyheder/Ny-GDPR-bode-paa-15-milliioner/" TargetMode="External"/><Relationship Id="rId10" Type="http://schemas.openxmlformats.org/officeDocument/2006/relationships/hyperlink" Target="https://sallinggroup.com/privatlivspolit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2ndc.dk/se-gdpr-boederne-her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428</Words>
  <Characters>2726</Characters>
  <Application>Microsoft Office Word</Application>
  <DocSecurity>0</DocSecurity>
  <Lines>109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og regler i forbindelse med data (GDPR)</dc:title>
  <dc:subject/>
  <dc:creator>Pia Zeidler</dc:creator>
  <cp:keywords/>
  <dc:description/>
  <cp:lastModifiedBy>Pia Zeidler</cp:lastModifiedBy>
  <cp:revision>1</cp:revision>
  <dcterms:created xsi:type="dcterms:W3CDTF">2021-10-20T07:17:00Z</dcterms:created>
  <dcterms:modified xsi:type="dcterms:W3CDTF">2021-10-20T07:47:00Z</dcterms:modified>
</cp:coreProperties>
</file>