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6" w:rsidRPr="00C85B16" w:rsidRDefault="00C85B16" w:rsidP="00C85B16">
      <w:pPr>
        <w:spacing w:after="240" w:line="240" w:lineRule="auto"/>
        <w:ind w:right="100"/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da-DK"/>
        </w:rPr>
      </w:pPr>
      <w:bookmarkStart w:id="0" w:name="_GoBack"/>
      <w:bookmarkEnd w:id="0"/>
      <w:r w:rsidRPr="00C85B16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da-DK"/>
        </w:rPr>
        <w:t>Bilag 1: Ideologispil</w:t>
      </w:r>
    </w:p>
    <w:p w:rsidR="00C85B16" w:rsidRPr="0035524A" w:rsidRDefault="00C85B16" w:rsidP="00C85B16">
      <w:pPr>
        <w:spacing w:after="240" w:line="240" w:lineRule="auto"/>
        <w:ind w:right="1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Der er udformet ideologikort ud fra hver af de tre ideologier; 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36 blå kort, 36 røde kort, 36 grønne kort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. 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Blå kort indeho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lder liberale statements, rø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de kort indeholder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socialistiske statements og gr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ønne kort indeholder statem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ents vedrørende konservatisme. (Se bilag 1: Ideologispil.)</w:t>
      </w:r>
    </w:p>
    <w:p w:rsidR="00C85B16" w:rsidRPr="0035524A" w:rsidRDefault="00C85B16" w:rsidP="00C85B16">
      <w:pPr>
        <w:spacing w:after="24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Der er 12 statements til hver ideologi –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og hvert 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statement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indgår 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3 gange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i spillet, derved 36 kort til hver idelogi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</w:t>
      </w:r>
    </w:p>
    <w:p w:rsidR="00C85B16" w:rsidRPr="0035524A" w:rsidRDefault="00C85B16" w:rsidP="00C85B16">
      <w:pPr>
        <w:spacing w:after="24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85B16">
        <w:rPr>
          <w:rFonts w:ascii="Garamond" w:eastAsia="Times New Roman" w:hAnsi="Garamond" w:cs="Times New Roman"/>
          <w:b/>
          <w:color w:val="000000"/>
          <w:sz w:val="24"/>
          <w:szCs w:val="24"/>
          <w:lang w:eastAsia="da-DK"/>
        </w:rPr>
        <w:t>Spillets gang: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da-DK"/>
        </w:rPr>
        <w:br/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Hver spiller tager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et antal kort svarende til antallet af elever.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Derefter spilles der ideologi bingo.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Hver elev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afgive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sine kort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til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klassekammeraterne. Eleven læser kortet og forsøger ud fra sit kendskab til de andre elever at finde en klassekammerat, som vil ”acceptere”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det pågældende statement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 Hvis klassekammeraten accepterer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det pågældende 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statementet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, gives kortet til klassekammeraten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 Hvis klassekammeraten ikk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e vil acceptere udsagnet, må eleven finde en anden elev, som udsagnet passer på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 Man må kun spørge hver enkelt klassekammerat 1 gang. Hver elev skal minimum have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modtaget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3 statements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. Et evt. maksimum kan læreren fastsætte ud fra det konkrete elevtal.</w:t>
      </w:r>
    </w:p>
    <w:p w:rsidR="00C85B16" w:rsidRPr="0035524A" w:rsidRDefault="00C85B16" w:rsidP="00C85B16">
      <w:pPr>
        <w:spacing w:after="24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Når alle kort er fordelt, tæller hver enkelt elev op, hvilken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statements man har flest af og placerer sig i sit ideologiske ringhjørne</w:t>
      </w:r>
      <w:r w:rsidRPr="0035524A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– f.eks. 3 blå og 1 grønt statement, så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 går eleven til liberalt ringhjørne.</w:t>
      </w:r>
    </w:p>
    <w:p w:rsidR="00C85B16" w:rsidRPr="003641E8" w:rsidRDefault="00C85B16" w:rsidP="00C85B16">
      <w:pPr>
        <w:spacing w:after="240" w:line="240" w:lineRule="auto"/>
        <w:ind w:right="10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</w:pPr>
      <w:r w:rsidRPr="0035524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  <w:t>Statements Blå/Liberal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3260"/>
        <w:gridCol w:w="3364"/>
      </w:tblGrid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Privat ejendomsret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Alle mennesker har ret til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at være med til </w:t>
            </w:r>
            <w:proofErr w:type="gram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bestemme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, fx</w:t>
            </w: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ved valg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Man er sin egen lykkes smed</w:t>
            </w: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Personlig frihed til at tænke, skrive og tro, hvad man vil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Økonomisk frihed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Statens rolle er BLOT at beskytte</w:t>
            </w: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borgernes frihed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Retten til at </w:t>
            </w:r>
            <w:proofErr w:type="gramStart"/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eje</w:t>
            </w:r>
            <w:proofErr w:type="gramEnd"/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huse, fabrikker m.v.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Frihed til at kunne skabe sig selv nogle gode økonomiske rammer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Det enkelte menneskes frihed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er det vigtigste</w:t>
            </w: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Politisk frihed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Alle konkurrerer med alle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Det er i orden, at den,</w:t>
            </w:r>
          </w:p>
          <w:p w:rsidR="00C85B16" w:rsidRPr="0035524A" w:rsidRDefault="00C85B16" w:rsidP="00AC25B1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der kan tilbyde sin arbejdskraft billigst,</w:t>
            </w:r>
          </w:p>
          <w:p w:rsidR="00C85B16" w:rsidRPr="0035524A" w:rsidRDefault="00C85B16" w:rsidP="00AC25B1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får arbejde</w:t>
            </w:r>
          </w:p>
        </w:tc>
      </w:tr>
    </w:tbl>
    <w:p w:rsidR="00C85B16" w:rsidRPr="003641E8" w:rsidRDefault="00C85B16" w:rsidP="00C85B16">
      <w:pPr>
        <w:spacing w:after="240" w:line="240" w:lineRule="auto"/>
        <w:ind w:right="10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</w:pPr>
    </w:p>
    <w:p w:rsidR="00C85B16" w:rsidRDefault="00C85B16" w:rsidP="00C85B16">
      <w:pPr>
        <w:spacing w:after="240" w:line="240" w:lineRule="auto"/>
        <w:ind w:right="100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</w:pPr>
    </w:p>
    <w:p w:rsidR="00C85B16" w:rsidRPr="0035524A" w:rsidRDefault="00C85B16" w:rsidP="00C85B16">
      <w:pPr>
        <w:spacing w:after="24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524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  <w:t>Statements Rød/Socialisme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3260"/>
        <w:gridCol w:w="3364"/>
      </w:tblGrid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Mennesket er socialt af natur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Mennesker har både brug for hinanden og </w:t>
            </w: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hjælper hinanden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Uden økonomisk lighed</w:t>
            </w: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er der ingen frihed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Skal man skabe frihed, er man nødt til at skabe økonomisk lighed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Fælles eje af produktionsmidlerne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Alle virksomheder skal ejes af hele samfundet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Et samfund, hvor goderne er mere lige fordelt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Staten skal eje ”det hele”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Ingen må tjene for meget</w:t>
            </w: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Ingen må tjene for lidt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Fælles eje af</w:t>
            </w: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641E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P</w:t>
            </w: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roduktionsmidlerne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Staten skal blande sig</w:t>
            </w:r>
          </w:p>
          <w:p w:rsidR="00C85B16" w:rsidRDefault="00C85B16" w:rsidP="00AC25B1">
            <w:pPr>
              <w:spacing w:after="0" w:line="0" w:lineRule="atLeast"/>
              <w:ind w:right="10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i konkurrencen</w:t>
            </w:r>
          </w:p>
          <w:p w:rsidR="00C85B16" w:rsidRDefault="00C85B16" w:rsidP="00AC25B1">
            <w:pPr>
              <w:spacing w:after="0" w:line="0" w:lineRule="atLeast"/>
              <w:ind w:right="100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C85B16" w:rsidRPr="0035524A" w:rsidRDefault="00C85B16" w:rsidP="00C85B16">
      <w:pPr>
        <w:spacing w:after="24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524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  <w:t> </w:t>
      </w:r>
    </w:p>
    <w:p w:rsidR="00C85B16" w:rsidRPr="0035524A" w:rsidRDefault="00C85B16" w:rsidP="00C85B16">
      <w:pPr>
        <w:spacing w:after="24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35524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da-DK"/>
        </w:rPr>
        <w:t>Statements Grøn/konservatisme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3260"/>
        <w:gridCol w:w="3364"/>
      </w:tblGrid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641E8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Staten skal værne om værdier og traditioner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Kirken er vigtig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Kongehuset er vigtigt</w:t>
            </w: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Forsvaret er vigtigt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Kulturen er vigtig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240" w:lineRule="auto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Staten skal til en vis grad sikre</w:t>
            </w: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de svageste i samfundet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Staten skal påtage sig et ansvar for de svageste borgere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Vi skal bevare samfundet som det er</w:t>
            </w: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De bedste tager ansvar og leder de svage</w:t>
            </w:r>
          </w:p>
        </w:tc>
      </w:tr>
      <w:tr w:rsidR="00C85B16" w:rsidRPr="0035524A" w:rsidTr="00AC25B1"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Familien</w:t>
            </w:r>
            <w:r w:rsidRPr="0035524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er vigtig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641E8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Faderen er familiens overhoved</w:t>
            </w:r>
          </w:p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5B16" w:rsidRDefault="00C85B16" w:rsidP="00AC25B1">
            <w:pPr>
              <w:spacing w:after="0" w:line="0" w:lineRule="atLeast"/>
              <w:ind w:left="720" w:right="100" w:hanging="36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  <w:p w:rsidR="00C85B16" w:rsidRPr="0035524A" w:rsidRDefault="00C85B16" w:rsidP="00AC25B1">
            <w:pPr>
              <w:spacing w:after="0" w:line="0" w:lineRule="atLeast"/>
              <w:ind w:left="72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da-DK"/>
              </w:rPr>
              <w:t>Ulighed er en naturlig tradition</w:t>
            </w:r>
          </w:p>
        </w:tc>
      </w:tr>
    </w:tbl>
    <w:p w:rsidR="00C85B16" w:rsidRPr="003641E8" w:rsidRDefault="00C85B16" w:rsidP="00C85B16">
      <w:pPr>
        <w:rPr>
          <w:sz w:val="24"/>
          <w:szCs w:val="24"/>
        </w:rPr>
      </w:pPr>
    </w:p>
    <w:p w:rsidR="00C85B16" w:rsidRDefault="00C85B16" w:rsidP="00C85B16"/>
    <w:p w:rsidR="000A01E9" w:rsidRDefault="000A01E9"/>
    <w:sectPr w:rsidR="000A01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6"/>
    <w:rsid w:val="000A01E9"/>
    <w:rsid w:val="004E3408"/>
    <w:rsid w:val="00C85B16"/>
    <w:rsid w:val="00E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Eva Bøgestrøm</cp:lastModifiedBy>
  <cp:revision>2</cp:revision>
  <dcterms:created xsi:type="dcterms:W3CDTF">2018-11-09T13:22:00Z</dcterms:created>
  <dcterms:modified xsi:type="dcterms:W3CDTF">2018-11-09T13:22:00Z</dcterms:modified>
</cp:coreProperties>
</file>